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EA" w:rsidRDefault="00A83739" w:rsidP="00DD38B8">
      <w:pPr>
        <w:jc w:val="center"/>
        <w:rPr>
          <w:b/>
          <w:color w:val="00B050"/>
          <w:sz w:val="24"/>
        </w:rPr>
      </w:pPr>
      <w:r w:rsidRPr="00A83739">
        <w:rPr>
          <w:b/>
          <w:sz w:val="28"/>
        </w:rPr>
        <w:t>Internal Audit - A step by step guideline for Auditor</w:t>
      </w:r>
    </w:p>
    <w:p w:rsidR="001B4DCC" w:rsidRPr="001B4DCC" w:rsidRDefault="001B4DCC" w:rsidP="00007BEA">
      <w:pPr>
        <w:spacing w:after="0" w:line="240" w:lineRule="auto"/>
        <w:rPr>
          <w:color w:val="000000" w:themeColor="text1"/>
        </w:rPr>
      </w:pPr>
      <w:r w:rsidRPr="001B4DCC">
        <w:rPr>
          <w:color w:val="000000" w:themeColor="text1"/>
        </w:rPr>
        <w:t>Pelatihan yang akan memberikan bekal bagi para peserta dalam melakukan fungsi internal audit mulai dari membuat perencanaan, hingga membuat laporan dan rekomendasi audit dengan pe</w:t>
      </w:r>
      <w:r>
        <w:rPr>
          <w:color w:val="000000" w:themeColor="text1"/>
        </w:rPr>
        <w:t xml:space="preserve">ndakatan praktis dan konseptual. Pelatihan ini juga membahas teknik mengelola hasil temuan dan teknik wawancara </w:t>
      </w:r>
    </w:p>
    <w:p w:rsidR="001B4DCC" w:rsidRPr="001B4DCC" w:rsidRDefault="001B4DCC" w:rsidP="00007BEA">
      <w:pPr>
        <w:spacing w:after="0" w:line="240" w:lineRule="auto"/>
        <w:rPr>
          <w:b/>
          <w:color w:val="000000" w:themeColor="text1"/>
          <w:sz w:val="24"/>
        </w:rPr>
      </w:pPr>
    </w:p>
    <w:p w:rsidR="001B4DCC" w:rsidRPr="001B4DCC" w:rsidRDefault="001B4DCC" w:rsidP="00007BEA">
      <w:pPr>
        <w:spacing w:after="0" w:line="240" w:lineRule="auto"/>
        <w:rPr>
          <w:b/>
          <w:color w:val="000000" w:themeColor="text1"/>
          <w:sz w:val="24"/>
        </w:rPr>
      </w:pPr>
    </w:p>
    <w:p w:rsidR="00007BEA" w:rsidRDefault="00007BEA" w:rsidP="00007BEA">
      <w:pPr>
        <w:spacing w:after="0" w:line="240" w:lineRule="auto"/>
        <w:rPr>
          <w:b/>
          <w:color w:val="00B050"/>
          <w:sz w:val="24"/>
        </w:rPr>
      </w:pPr>
      <w:r w:rsidRPr="00007BEA">
        <w:rPr>
          <w:b/>
          <w:color w:val="00B050"/>
          <w:sz w:val="24"/>
        </w:rPr>
        <w:t>MANFAAT PELATIHAN BAGI PESERTA</w:t>
      </w:r>
    </w:p>
    <w:p w:rsidR="00007BEA" w:rsidRPr="00007BEA" w:rsidRDefault="00007BEA" w:rsidP="00007BE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Memahami peran dan proses internal audit </w:t>
      </w:r>
    </w:p>
    <w:p w:rsidR="00DD38B8" w:rsidRDefault="00DD38B8" w:rsidP="00007BE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Cs w:val="20"/>
        </w:rPr>
        <w:sectPr w:rsidR="00DD38B8" w:rsidSect="00682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720" w:right="567" w:bottom="567" w:left="851" w:header="227" w:footer="340" w:gutter="0"/>
          <w:cols w:space="708"/>
          <w:docGrid w:linePitch="360"/>
        </w:sectPr>
      </w:pPr>
    </w:p>
    <w:p w:rsidR="00007BEA" w:rsidRPr="00007BEA" w:rsidRDefault="00007BEA" w:rsidP="00007BE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lastRenderedPageBreak/>
        <w:t xml:space="preserve">Menguasai teknik praktis dalam mendapatkan informasi akurat dengan </w:t>
      </w:r>
      <w:r w:rsidRPr="00007BEA">
        <w:rPr>
          <w:color w:val="000000" w:themeColor="text1"/>
          <w:szCs w:val="20"/>
        </w:rPr>
        <w:t xml:space="preserve">teknik wawancara </w:t>
      </w:r>
    </w:p>
    <w:p w:rsidR="00DD38B8" w:rsidRDefault="00DD38B8" w:rsidP="00007BE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Cs w:val="20"/>
        </w:rPr>
      </w:pPr>
      <w:r w:rsidRPr="00DD38B8">
        <w:rPr>
          <w:color w:val="000000" w:themeColor="text1"/>
          <w:szCs w:val="20"/>
        </w:rPr>
        <w:t xml:space="preserve">Memahami bagaimana menetapkan tujuan audit dan perencanaan audit internal </w:t>
      </w:r>
    </w:p>
    <w:p w:rsidR="00007BEA" w:rsidRPr="00DD38B8" w:rsidRDefault="00007BEA" w:rsidP="00007BE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Cs w:val="20"/>
        </w:rPr>
      </w:pPr>
      <w:r w:rsidRPr="00DD38B8">
        <w:rPr>
          <w:color w:val="000000" w:themeColor="text1"/>
          <w:szCs w:val="20"/>
        </w:rPr>
        <w:t xml:space="preserve">Memastikan </w:t>
      </w:r>
      <w:r w:rsidR="00DD38B8">
        <w:rPr>
          <w:color w:val="000000" w:themeColor="text1"/>
          <w:szCs w:val="20"/>
        </w:rPr>
        <w:t>tingkat kepatuhan dan keterkaitan dengan kebijakan perusahaan, PSAK, perpajakan dan lainya</w:t>
      </w:r>
    </w:p>
    <w:p w:rsidR="00DD38B8" w:rsidRPr="00DD38B8" w:rsidRDefault="00DD38B8" w:rsidP="00007BEA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0000" w:themeColor="text1"/>
          <w:szCs w:val="20"/>
        </w:rPr>
      </w:pPr>
      <w:r w:rsidRPr="00DD38B8">
        <w:rPr>
          <w:color w:val="000000" w:themeColor="text1"/>
          <w:szCs w:val="20"/>
        </w:rPr>
        <w:t xml:space="preserve">Menguasai teknik dalam membuat rekomendasi audit </w:t>
      </w:r>
    </w:p>
    <w:p w:rsidR="00007BEA" w:rsidRPr="00DD38B8" w:rsidRDefault="00DD38B8" w:rsidP="00007BEA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B050"/>
          <w:sz w:val="24"/>
          <w:szCs w:val="20"/>
        </w:rPr>
      </w:pPr>
      <w:r w:rsidRPr="00DD38B8">
        <w:rPr>
          <w:color w:val="000000" w:themeColor="text1"/>
          <w:szCs w:val="20"/>
        </w:rPr>
        <w:t xml:space="preserve">Mengelola  dan menyakinkan hasil temuan dan rekomendasi audit </w:t>
      </w:r>
    </w:p>
    <w:p w:rsidR="00DD38B8" w:rsidRPr="00DD38B8" w:rsidRDefault="00DD38B8" w:rsidP="00DD38B8">
      <w:pPr>
        <w:spacing w:after="0" w:line="240" w:lineRule="auto"/>
        <w:rPr>
          <w:b/>
          <w:color w:val="00B050"/>
          <w:sz w:val="24"/>
          <w:szCs w:val="20"/>
        </w:rPr>
      </w:pPr>
    </w:p>
    <w:p w:rsidR="00007BEA" w:rsidRPr="00007BEA" w:rsidRDefault="00007BEA" w:rsidP="00007BEA">
      <w:pPr>
        <w:spacing w:after="0" w:line="240" w:lineRule="auto"/>
        <w:rPr>
          <w:b/>
          <w:color w:val="00B050"/>
          <w:sz w:val="24"/>
          <w:szCs w:val="20"/>
        </w:rPr>
      </w:pPr>
      <w:r w:rsidRPr="00007BEA">
        <w:rPr>
          <w:b/>
          <w:color w:val="00B050"/>
          <w:sz w:val="24"/>
          <w:szCs w:val="20"/>
        </w:rPr>
        <w:t>METODE PELAKSANAANNYA</w:t>
      </w:r>
    </w:p>
    <w:p w:rsidR="00007BEA" w:rsidRPr="00823CA8" w:rsidRDefault="00007BEA" w:rsidP="00007BEA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cs="Tahoma"/>
          <w:b/>
        </w:rPr>
      </w:pPr>
      <w:r w:rsidRPr="00823CA8">
        <w:rPr>
          <w:rFonts w:cs="Tahoma"/>
          <w:b/>
        </w:rPr>
        <w:t>Interaktif Kelas dengan Case Study, Group Discussion, &amp; Sharing Experience</w:t>
      </w:r>
    </w:p>
    <w:p w:rsidR="00007BEA" w:rsidRPr="00823CA8" w:rsidRDefault="00007BEA" w:rsidP="00007BEA">
      <w:pPr>
        <w:spacing w:after="0" w:line="240" w:lineRule="auto"/>
        <w:ind w:left="426" w:hanging="426"/>
        <w:rPr>
          <w:rFonts w:cs="Tahoma"/>
        </w:rPr>
      </w:pPr>
      <w:r w:rsidRPr="00823CA8">
        <w:rPr>
          <w:rFonts w:cs="Tahoma"/>
        </w:rPr>
        <w:t>•</w:t>
      </w:r>
      <w:r w:rsidRPr="00823CA8">
        <w:rPr>
          <w:rFonts w:cs="Tahoma"/>
        </w:rPr>
        <w:tab/>
      </w:r>
      <w:r w:rsidRPr="00823CA8">
        <w:rPr>
          <w:rFonts w:cs="Tahoma"/>
          <w:b/>
        </w:rPr>
        <w:t>Rencana Kerja dan Capaian Hasil Pelatihan</w:t>
      </w:r>
    </w:p>
    <w:p w:rsidR="00007BEA" w:rsidRPr="00823CA8" w:rsidRDefault="00007BEA" w:rsidP="00007BEA">
      <w:pPr>
        <w:spacing w:after="0" w:line="240" w:lineRule="auto"/>
        <w:ind w:left="426"/>
        <w:rPr>
          <w:rFonts w:cs="Tahoma"/>
        </w:rPr>
      </w:pPr>
      <w:r w:rsidRPr="00823CA8">
        <w:rPr>
          <w:rFonts w:cs="Tahoma"/>
        </w:rPr>
        <w:t xml:space="preserve">Para peserta akan diajak untuk mendiskusikan hasil pelatihan yang akan dijadikan rencana kerja setelah kembali ke dunia kerja, dan capaian hasil rencana kerja </w:t>
      </w:r>
    </w:p>
    <w:p w:rsidR="00007BEA" w:rsidRPr="00823CA8" w:rsidRDefault="00007BEA" w:rsidP="00007BEA">
      <w:pPr>
        <w:spacing w:after="0" w:line="240" w:lineRule="auto"/>
        <w:ind w:left="426" w:hanging="426"/>
        <w:rPr>
          <w:rFonts w:cs="Tahoma"/>
          <w:b/>
        </w:rPr>
      </w:pPr>
      <w:r w:rsidRPr="00823CA8">
        <w:rPr>
          <w:rFonts w:cs="Tahoma"/>
        </w:rPr>
        <w:t>•</w:t>
      </w:r>
      <w:r w:rsidRPr="00823CA8">
        <w:rPr>
          <w:rFonts w:cs="Tahoma"/>
        </w:rPr>
        <w:tab/>
      </w:r>
      <w:r w:rsidRPr="00823CA8">
        <w:rPr>
          <w:rFonts w:cs="Tahoma"/>
          <w:b/>
        </w:rPr>
        <w:t>Evaluasi Hasil Pelatihan (Optional)</w:t>
      </w:r>
    </w:p>
    <w:p w:rsidR="00007BEA" w:rsidRPr="00823CA8" w:rsidRDefault="00007BEA" w:rsidP="00007BEA">
      <w:pPr>
        <w:spacing w:after="0" w:line="240" w:lineRule="auto"/>
        <w:ind w:left="426"/>
        <w:rPr>
          <w:rFonts w:cs="Tahoma"/>
        </w:rPr>
      </w:pPr>
      <w:r w:rsidRPr="00823CA8">
        <w:rPr>
          <w:rFonts w:cs="Tahoma"/>
        </w:rPr>
        <w:t>Jika dibutuhkan oleh perusahaan</w:t>
      </w:r>
      <w:r w:rsidRPr="00823CA8">
        <w:rPr>
          <w:rFonts w:cs="Tahoma"/>
          <w:b/>
        </w:rPr>
        <w:t xml:space="preserve"> </w:t>
      </w:r>
      <w:r w:rsidRPr="00823CA8">
        <w:rPr>
          <w:rFonts w:cs="Tahoma"/>
        </w:rPr>
        <w:t xml:space="preserve">DMTc  juga akan memberikan evaluasi hasil pelatihan para peserta </w:t>
      </w:r>
    </w:p>
    <w:p w:rsidR="00007BEA" w:rsidRDefault="00007BEA" w:rsidP="00330AA2">
      <w:pPr>
        <w:spacing w:after="0" w:line="240" w:lineRule="auto"/>
        <w:rPr>
          <w:b/>
          <w:color w:val="00B050"/>
          <w:sz w:val="24"/>
        </w:rPr>
      </w:pPr>
    </w:p>
    <w:p w:rsidR="00330AA2" w:rsidRDefault="006A0163" w:rsidP="00330AA2">
      <w:pPr>
        <w:spacing w:after="0" w:line="240" w:lineRule="auto"/>
        <w:rPr>
          <w:b/>
          <w:color w:val="00B050"/>
          <w:sz w:val="24"/>
        </w:rPr>
      </w:pPr>
      <w:r w:rsidRPr="006A0163">
        <w:rPr>
          <w:b/>
          <w:color w:val="00B050"/>
          <w:sz w:val="24"/>
        </w:rPr>
        <w:t>POKOK BAHASAN</w:t>
      </w:r>
    </w:p>
    <w:p w:rsidR="00DD38B8" w:rsidRDefault="00DD38B8" w:rsidP="00DD38B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  <w:b/>
          <w:bCs/>
        </w:rPr>
        <w:sectPr w:rsidR="00DD38B8" w:rsidSect="00DD38B8">
          <w:type w:val="continuous"/>
          <w:pgSz w:w="11907" w:h="16839" w:code="9"/>
          <w:pgMar w:top="720" w:right="567" w:bottom="567" w:left="851" w:header="227" w:footer="340" w:gutter="0"/>
          <w:cols w:space="708"/>
          <w:docGrid w:linePitch="360"/>
        </w:sectPr>
      </w:pPr>
    </w:p>
    <w:p w:rsidR="0096645D" w:rsidRPr="0096645D" w:rsidRDefault="0096645D" w:rsidP="00DD38B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</w:rPr>
      </w:pPr>
      <w:r w:rsidRPr="0096645D">
        <w:rPr>
          <w:rFonts w:eastAsia="Times New Roman" w:cs="Arial"/>
          <w:b/>
          <w:bCs/>
        </w:rPr>
        <w:lastRenderedPageBreak/>
        <w:t xml:space="preserve">The Internal Audit Environment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Management Responsibilities of an Internal Audit Function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Standards for the Professional Practice of Internal Auditing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The Similarities and Differences between Internal Auditing and External Auditing </w:t>
      </w:r>
    </w:p>
    <w:p w:rsidR="006A0163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>The Various Types of Internal Audits</w:t>
      </w:r>
    </w:p>
    <w:p w:rsidR="0096645D" w:rsidRPr="0096645D" w:rsidRDefault="0096645D" w:rsidP="00DD38B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color w:val="000000" w:themeColor="text1"/>
        </w:rPr>
      </w:pPr>
      <w:r w:rsidRPr="0096645D">
        <w:rPr>
          <w:b/>
          <w:color w:val="000000" w:themeColor="text1"/>
        </w:rPr>
        <w:t xml:space="preserve">The Principles of Effective Internal Auditing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The Principles of Effective Audits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Compliance, Substantive, and Operational Tests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Calculation of Audit Risk </w:t>
      </w:r>
    </w:p>
    <w:p w:rsid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Analytical Review, Confirmations, Reperformance, Observation and Inquiry, Inspection, and Other Types of Audit Evidence </w:t>
      </w:r>
    </w:p>
    <w:p w:rsidR="0096645D" w:rsidRPr="0096645D" w:rsidRDefault="0096645D" w:rsidP="00DD38B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color w:val="000000" w:themeColor="text1"/>
        </w:rPr>
      </w:pPr>
      <w:r w:rsidRPr="0096645D">
        <w:rPr>
          <w:b/>
          <w:color w:val="000000" w:themeColor="text1"/>
        </w:rPr>
        <w:t xml:space="preserve">Developing Achievable Audit Objectives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Concept of Internal Audit Strategies to the Audit Planning Process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Long-Term Audit Plan for the Internal Audit Department Using Internal Control-Based Risk Assessment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b/>
          <w:color w:val="000000" w:themeColor="text1"/>
        </w:rPr>
      </w:pPr>
      <w:r w:rsidRPr="0096645D">
        <w:rPr>
          <w:color w:val="000000" w:themeColor="text1"/>
        </w:rPr>
        <w:t xml:space="preserve">Audit Plan and Preparing an Audit Planning Memorandum </w:t>
      </w:r>
    </w:p>
    <w:p w:rsidR="0096645D" w:rsidRPr="0096645D" w:rsidRDefault="0096645D" w:rsidP="00DD38B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color w:val="000000" w:themeColor="text1"/>
        </w:rPr>
      </w:pPr>
      <w:r w:rsidRPr="0096645D">
        <w:rPr>
          <w:b/>
          <w:color w:val="000000" w:themeColor="text1"/>
        </w:rPr>
        <w:t xml:space="preserve">Principles of Internal Control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Internal Controls and the Audit Process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Control: Concepts and Responsibilities </w:t>
      </w:r>
    </w:p>
    <w:p w:rsidR="0096645D" w:rsidRPr="0096645D" w:rsidRDefault="0096645D" w:rsidP="00DD38B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color w:val="000000" w:themeColor="text1"/>
        </w:rPr>
      </w:pPr>
      <w:r w:rsidRPr="0096645D">
        <w:rPr>
          <w:b/>
          <w:color w:val="000000" w:themeColor="text1"/>
        </w:rPr>
        <w:t xml:space="preserve">Documenting and Evaluating Internal Control Systems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The Basic and Detailed Information of the Audit Process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Planning the Audit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Gathering Background Information (BIG)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Understanding the Work Process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Documenting the Work Process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How to Develop Process Flow Diagrams and Process Maps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Completion of the Audit Internal Controls Documentation Matrix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lastRenderedPageBreak/>
        <w:t xml:space="preserve">Finalizing the Audit Objectives </w:t>
      </w:r>
    </w:p>
    <w:p w:rsidR="0096645D" w:rsidRPr="0096645D" w:rsidRDefault="0096645D" w:rsidP="00DD38B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color w:val="000000" w:themeColor="text1"/>
        </w:rPr>
      </w:pPr>
      <w:r w:rsidRPr="0096645D">
        <w:rPr>
          <w:b/>
          <w:color w:val="000000" w:themeColor="text1"/>
        </w:rPr>
        <w:t>Audit Evidence and Audit Workpapers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Concepts of Audit Evidence, and Impact on the Development of Audit Workpapers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Performing Analytical Reviews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Testing and Gathering Review Evidence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Compliance and Substantive Testing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Selection of Appropriate Testing Method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Overview of Statistical Sampling Techniques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Determining the Objectives of the Sampling Plan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Developing the Sampling Plan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Attribute Sampling Techniques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Extrapolating the Sample Results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Ensure That Audit Workpapers Support Audit Conclusions and Recommendations </w:t>
      </w:r>
    </w:p>
    <w:p w:rsidR="0096645D" w:rsidRPr="00007BEA" w:rsidRDefault="0096645D" w:rsidP="00DD38B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color w:val="000000" w:themeColor="text1"/>
        </w:rPr>
      </w:pPr>
      <w:r w:rsidRPr="00007BEA">
        <w:rPr>
          <w:b/>
          <w:color w:val="000000" w:themeColor="text1"/>
        </w:rPr>
        <w:t>Conducting Audit Interviews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Planning Interviews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Framework for Planning, Conducting, and Evaluating the Results of Interviews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Overcoming Resistance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Conflict Management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Effective Listening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How to Take Effective Notes in a Non-Threatening Environment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Getting to "Yes"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Confidentiality of Information </w:t>
      </w:r>
    </w:p>
    <w:p w:rsidR="0096645D" w:rsidRPr="00007BEA" w:rsidRDefault="0096645D" w:rsidP="00DD38B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color w:val="000000" w:themeColor="text1"/>
        </w:rPr>
      </w:pPr>
      <w:r w:rsidRPr="00007BEA">
        <w:rPr>
          <w:b/>
          <w:color w:val="000000" w:themeColor="text1"/>
        </w:rPr>
        <w:t xml:space="preserve">Selling Your Recommendations to Management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Developing Control-Based Audit Recommendations </w:t>
      </w:r>
    </w:p>
    <w:p w:rsidR="0096645D" w:rsidRP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 xml:space="preserve">Effectively Using Interim Audit Memorandum </w:t>
      </w:r>
    </w:p>
    <w:p w:rsidR="0096645D" w:rsidRPr="00007BEA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007BEA">
        <w:rPr>
          <w:color w:val="000000" w:themeColor="text1"/>
        </w:rPr>
        <w:t xml:space="preserve">Issuing Audit Reports </w:t>
      </w:r>
    </w:p>
    <w:p w:rsidR="0096645D" w:rsidRPr="00007BEA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007BEA">
        <w:rPr>
          <w:color w:val="000000" w:themeColor="text1"/>
        </w:rPr>
        <w:t xml:space="preserve">Providing the Reader with a "Balanced" Audit Report </w:t>
      </w:r>
    </w:p>
    <w:p w:rsidR="0096645D" w:rsidRDefault="0096645D" w:rsidP="00DD38B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 w:themeColor="text1"/>
        </w:rPr>
      </w:pPr>
      <w:r w:rsidRPr="0096645D">
        <w:rPr>
          <w:color w:val="000000" w:themeColor="text1"/>
        </w:rPr>
        <w:t>Structuring the Audit Report to Be Used as an Effective Management Tool</w:t>
      </w:r>
    </w:p>
    <w:p w:rsidR="00086AF4" w:rsidRDefault="00086AF4" w:rsidP="00086AF4">
      <w:pPr>
        <w:spacing w:after="0" w:line="240" w:lineRule="auto"/>
        <w:rPr>
          <w:color w:val="000000" w:themeColor="text1"/>
        </w:rPr>
      </w:pPr>
    </w:p>
    <w:p w:rsidR="004C1563" w:rsidRPr="00222951" w:rsidRDefault="004C1563" w:rsidP="004C1563">
      <w:pPr>
        <w:spacing w:before="120" w:after="0" w:line="240" w:lineRule="auto"/>
        <w:rPr>
          <w:b/>
          <w:sz w:val="24"/>
        </w:rPr>
      </w:pPr>
      <w:r w:rsidRPr="00222951">
        <w:rPr>
          <w:b/>
          <w:sz w:val="24"/>
        </w:rPr>
        <w:t>INVESTASI DAN LOKASI PELATIHAN</w:t>
      </w:r>
    </w:p>
    <w:p w:rsidR="004C1563" w:rsidRPr="00222951" w:rsidRDefault="004C1563" w:rsidP="004C1563">
      <w:pPr>
        <w:spacing w:after="0" w:line="240" w:lineRule="auto"/>
      </w:pPr>
      <w:r>
        <w:rPr>
          <w:b/>
        </w:rPr>
        <w:t>FAVEHOTEL Gatot Subroto Jakarata atau Hotel Puri Denpasar Jakarta</w:t>
      </w:r>
    </w:p>
    <w:p w:rsidR="004C1563" w:rsidRDefault="004C1563" w:rsidP="004C1563">
      <w:pPr>
        <w:spacing w:after="0" w:line="240" w:lineRule="auto"/>
      </w:pPr>
      <w:r w:rsidRPr="00222951">
        <w:t xml:space="preserve">Investasi Per Person Rp </w:t>
      </w:r>
      <w:r>
        <w:t>4.0</w:t>
      </w:r>
      <w:r w:rsidRPr="00222951">
        <w:t>00.000</w:t>
      </w:r>
    </w:p>
    <w:p w:rsidR="00086AF4" w:rsidRPr="00D61AE4" w:rsidRDefault="00086AF4" w:rsidP="004C1563">
      <w:pPr>
        <w:spacing w:before="120" w:after="0" w:line="240" w:lineRule="auto"/>
      </w:pPr>
      <w:bookmarkStart w:id="0" w:name="_GoBack"/>
      <w:bookmarkEnd w:id="0"/>
    </w:p>
    <w:sectPr w:rsidR="00086AF4" w:rsidRPr="00D61AE4" w:rsidSect="00DD38B8">
      <w:type w:val="continuous"/>
      <w:pgSz w:w="11907" w:h="16839" w:code="9"/>
      <w:pgMar w:top="720" w:right="567" w:bottom="567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9C" w:rsidRDefault="008D739C" w:rsidP="009B4AC7">
      <w:pPr>
        <w:spacing w:after="0" w:line="240" w:lineRule="auto"/>
      </w:pPr>
      <w:r>
        <w:separator/>
      </w:r>
    </w:p>
  </w:endnote>
  <w:endnote w:type="continuationSeparator" w:id="0">
    <w:p w:rsidR="008D739C" w:rsidRDefault="008D739C" w:rsidP="009B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3F" w:rsidRDefault="00EA6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C7" w:rsidRPr="00EA623F" w:rsidRDefault="00EA623F" w:rsidP="00EA623F">
    <w:pPr>
      <w:pStyle w:val="Footer"/>
      <w:jc w:val="right"/>
      <w:rPr>
        <w:b/>
      </w:rPr>
    </w:pPr>
    <w:r w:rsidRPr="00EA623F">
      <w:rPr>
        <w:b/>
      </w:rPr>
      <w:t>AFC-10</w:t>
    </w:r>
  </w:p>
  <w:p w:rsidR="009B4AC7" w:rsidRDefault="009B4AC7">
    <w:pPr>
      <w:pStyle w:val="Footer"/>
    </w:pPr>
    <w:r>
      <w:rPr>
        <w:noProof/>
      </w:rPr>
      <w:drawing>
        <wp:inline distT="0" distB="0" distL="0" distR="0">
          <wp:extent cx="6870192" cy="445008"/>
          <wp:effectExtent l="19050" t="0" r="6858" b="0"/>
          <wp:docPr id="3" name="Picture 1" descr="Letterhead 01 baw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01 bawa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192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3F" w:rsidRDefault="00EA6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9C" w:rsidRDefault="008D739C" w:rsidP="009B4AC7">
      <w:pPr>
        <w:spacing w:after="0" w:line="240" w:lineRule="auto"/>
      </w:pPr>
      <w:r>
        <w:separator/>
      </w:r>
    </w:p>
  </w:footnote>
  <w:footnote w:type="continuationSeparator" w:id="0">
    <w:p w:rsidR="008D739C" w:rsidRDefault="008D739C" w:rsidP="009B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3F" w:rsidRDefault="00EA6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C7" w:rsidRDefault="009B4A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-96520</wp:posOffset>
          </wp:positionV>
          <wp:extent cx="7191375" cy="1085215"/>
          <wp:effectExtent l="19050" t="0" r="9525" b="0"/>
          <wp:wrapSquare wrapText="bothSides"/>
          <wp:docPr id="1" name="Picture 0" descr="Letterhead 01 a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01 at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1375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4AC7" w:rsidRDefault="009B4A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3F" w:rsidRDefault="00EA6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9B2"/>
    <w:multiLevelType w:val="hybridMultilevel"/>
    <w:tmpl w:val="A0F09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EE21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916"/>
    <w:multiLevelType w:val="hybridMultilevel"/>
    <w:tmpl w:val="F46A098C"/>
    <w:lvl w:ilvl="0" w:tplc="B678AF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62057D"/>
    <w:multiLevelType w:val="hybridMultilevel"/>
    <w:tmpl w:val="5788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517E"/>
    <w:multiLevelType w:val="hybridMultilevel"/>
    <w:tmpl w:val="7E8E77C2"/>
    <w:lvl w:ilvl="0" w:tplc="18EA1E08">
      <w:start w:val="1"/>
      <w:numFmt w:val="bullet"/>
      <w:lvlText w:val="•"/>
      <w:lvlJc w:val="left"/>
      <w:pPr>
        <w:ind w:left="720" w:hanging="72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58439C"/>
    <w:multiLevelType w:val="hybridMultilevel"/>
    <w:tmpl w:val="47D62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C7160B"/>
    <w:multiLevelType w:val="hybridMultilevel"/>
    <w:tmpl w:val="9086F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9D718C"/>
    <w:multiLevelType w:val="hybridMultilevel"/>
    <w:tmpl w:val="A71EBAD8"/>
    <w:lvl w:ilvl="0" w:tplc="767034A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C7"/>
    <w:rsid w:val="00007BEA"/>
    <w:rsid w:val="00026F38"/>
    <w:rsid w:val="000607EE"/>
    <w:rsid w:val="00086AF4"/>
    <w:rsid w:val="000943EE"/>
    <w:rsid w:val="00094F43"/>
    <w:rsid w:val="000B426D"/>
    <w:rsid w:val="000B7A41"/>
    <w:rsid w:val="000D7647"/>
    <w:rsid w:val="00111C40"/>
    <w:rsid w:val="00132449"/>
    <w:rsid w:val="00186DE9"/>
    <w:rsid w:val="001B4DCC"/>
    <w:rsid w:val="001C4280"/>
    <w:rsid w:val="00211EAB"/>
    <w:rsid w:val="002556FC"/>
    <w:rsid w:val="00255C49"/>
    <w:rsid w:val="00281FD5"/>
    <w:rsid w:val="002B1EC1"/>
    <w:rsid w:val="002E0F64"/>
    <w:rsid w:val="00330AA2"/>
    <w:rsid w:val="00345675"/>
    <w:rsid w:val="003B3641"/>
    <w:rsid w:val="003B54E9"/>
    <w:rsid w:val="003D0E9C"/>
    <w:rsid w:val="003D6C39"/>
    <w:rsid w:val="00446163"/>
    <w:rsid w:val="0048013B"/>
    <w:rsid w:val="0049134E"/>
    <w:rsid w:val="004A33D5"/>
    <w:rsid w:val="004C1563"/>
    <w:rsid w:val="004C54EB"/>
    <w:rsid w:val="004C557D"/>
    <w:rsid w:val="00554576"/>
    <w:rsid w:val="00576D15"/>
    <w:rsid w:val="00593280"/>
    <w:rsid w:val="005C3792"/>
    <w:rsid w:val="005D7315"/>
    <w:rsid w:val="005E742C"/>
    <w:rsid w:val="005E76B9"/>
    <w:rsid w:val="0063732D"/>
    <w:rsid w:val="00641A1A"/>
    <w:rsid w:val="00682456"/>
    <w:rsid w:val="0069543A"/>
    <w:rsid w:val="006A0163"/>
    <w:rsid w:val="007078B6"/>
    <w:rsid w:val="007963F5"/>
    <w:rsid w:val="007A7A41"/>
    <w:rsid w:val="007F2B5D"/>
    <w:rsid w:val="00820226"/>
    <w:rsid w:val="008231F1"/>
    <w:rsid w:val="00825273"/>
    <w:rsid w:val="00846928"/>
    <w:rsid w:val="008941E4"/>
    <w:rsid w:val="00896732"/>
    <w:rsid w:val="008B7E4F"/>
    <w:rsid w:val="008D739C"/>
    <w:rsid w:val="00930A59"/>
    <w:rsid w:val="00932A62"/>
    <w:rsid w:val="0096645D"/>
    <w:rsid w:val="0096744D"/>
    <w:rsid w:val="0096792E"/>
    <w:rsid w:val="00973027"/>
    <w:rsid w:val="00990CC4"/>
    <w:rsid w:val="009B4AC7"/>
    <w:rsid w:val="009F700C"/>
    <w:rsid w:val="00A82A1E"/>
    <w:rsid w:val="00A83739"/>
    <w:rsid w:val="00A95897"/>
    <w:rsid w:val="00A9718D"/>
    <w:rsid w:val="00B46DCA"/>
    <w:rsid w:val="00B5059E"/>
    <w:rsid w:val="00BA0F5E"/>
    <w:rsid w:val="00BA11DE"/>
    <w:rsid w:val="00BA3204"/>
    <w:rsid w:val="00C128B0"/>
    <w:rsid w:val="00C7742A"/>
    <w:rsid w:val="00C973CE"/>
    <w:rsid w:val="00CC53CE"/>
    <w:rsid w:val="00D053DA"/>
    <w:rsid w:val="00D071A4"/>
    <w:rsid w:val="00D21D25"/>
    <w:rsid w:val="00D23CFD"/>
    <w:rsid w:val="00D46443"/>
    <w:rsid w:val="00D61AE4"/>
    <w:rsid w:val="00D74ED4"/>
    <w:rsid w:val="00D916D3"/>
    <w:rsid w:val="00D95EF1"/>
    <w:rsid w:val="00DB6E2B"/>
    <w:rsid w:val="00DD38B8"/>
    <w:rsid w:val="00DD41C6"/>
    <w:rsid w:val="00DD7FB4"/>
    <w:rsid w:val="00E11061"/>
    <w:rsid w:val="00E12D22"/>
    <w:rsid w:val="00E21CD9"/>
    <w:rsid w:val="00E35230"/>
    <w:rsid w:val="00E74F68"/>
    <w:rsid w:val="00EA623F"/>
    <w:rsid w:val="00EB1286"/>
    <w:rsid w:val="00ED3F60"/>
    <w:rsid w:val="00EE0998"/>
    <w:rsid w:val="00EE2DCF"/>
    <w:rsid w:val="00F106B7"/>
    <w:rsid w:val="00F14712"/>
    <w:rsid w:val="00F23A90"/>
    <w:rsid w:val="00F2459C"/>
    <w:rsid w:val="00FA43B9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2D767-14A2-4234-A819-6A6F1550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C7"/>
  </w:style>
  <w:style w:type="paragraph" w:styleId="Footer">
    <w:name w:val="footer"/>
    <w:basedOn w:val="Normal"/>
    <w:link w:val="FooterChar"/>
    <w:uiPriority w:val="99"/>
    <w:unhideWhenUsed/>
    <w:rsid w:val="009B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C7"/>
  </w:style>
  <w:style w:type="paragraph" w:styleId="BalloonText">
    <w:name w:val="Balloon Text"/>
    <w:basedOn w:val="Normal"/>
    <w:link w:val="BalloonTextChar"/>
    <w:uiPriority w:val="99"/>
    <w:semiHidden/>
    <w:unhideWhenUsed/>
    <w:rsid w:val="009B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AED5-4D56-4C07-8377-6968E734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Dino</cp:lastModifiedBy>
  <cp:revision>8</cp:revision>
  <cp:lastPrinted>2012-01-18T07:56:00Z</cp:lastPrinted>
  <dcterms:created xsi:type="dcterms:W3CDTF">2014-12-05T16:02:00Z</dcterms:created>
  <dcterms:modified xsi:type="dcterms:W3CDTF">2019-01-30T05:15:00Z</dcterms:modified>
</cp:coreProperties>
</file>